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14995614" w:rsidR="00537809" w:rsidRPr="00B266B0" w:rsidRDefault="00537809" w:rsidP="2AF8BA39">
      <w:pPr>
        <w:pStyle w:val="Header"/>
        <w:tabs>
          <w:tab w:val="right" w:pos="9639"/>
        </w:tabs>
        <w:rPr>
          <w:i/>
          <w:iCs/>
          <w:noProof w:val="0"/>
          <w:sz w:val="24"/>
          <w:szCs w:val="24"/>
        </w:rPr>
      </w:pPr>
      <w:r w:rsidRPr="2AF8BA39">
        <w:rPr>
          <w:noProof w:val="0"/>
          <w:sz w:val="24"/>
          <w:szCs w:val="24"/>
        </w:rPr>
        <w:t>3GPP TSG-RAN WG2 Meeting #12</w:t>
      </w:r>
      <w:r w:rsidR="00C67B54">
        <w:rPr>
          <w:noProof w:val="0"/>
          <w:sz w:val="24"/>
          <w:szCs w:val="24"/>
        </w:rPr>
        <w:t>7</w:t>
      </w:r>
      <w:r>
        <w:tab/>
      </w:r>
      <w:r w:rsidR="004C2E38" w:rsidRPr="004C2E38">
        <w:rPr>
          <w:noProof w:val="0"/>
          <w:sz w:val="24"/>
          <w:szCs w:val="24"/>
        </w:rPr>
        <w:t>R2-2407013</w:t>
      </w:r>
    </w:p>
    <w:p w14:paraId="3723E1D3" w14:textId="4B634124" w:rsidR="005432D9" w:rsidRPr="00465587" w:rsidRDefault="00C67B54" w:rsidP="005432D9">
      <w:pPr>
        <w:pStyle w:val="Header"/>
        <w:tabs>
          <w:tab w:val="right" w:pos="9639"/>
        </w:tabs>
        <w:rPr>
          <w:rFonts w:eastAsia="SimSun"/>
          <w:bCs/>
          <w:sz w:val="24"/>
          <w:szCs w:val="24"/>
          <w:lang w:eastAsia="zh-CN"/>
        </w:rPr>
      </w:pPr>
      <w:r w:rsidRPr="00C67B54">
        <w:rPr>
          <w:rFonts w:eastAsia="SimSun"/>
          <w:bCs/>
          <w:sz w:val="24"/>
          <w:szCs w:val="24"/>
          <w:lang w:eastAsia="zh-CN"/>
        </w:rPr>
        <w:t>Maastricht</w:t>
      </w:r>
      <w:r w:rsidR="005432D9" w:rsidRPr="008B1D34">
        <w:rPr>
          <w:rFonts w:eastAsia="SimSun"/>
          <w:bCs/>
          <w:sz w:val="24"/>
          <w:szCs w:val="24"/>
          <w:lang w:eastAsia="zh-CN"/>
        </w:rPr>
        <w:t xml:space="preserve">, </w:t>
      </w:r>
      <w:r w:rsidRPr="00C67B54">
        <w:rPr>
          <w:rFonts w:eastAsia="SimSun"/>
          <w:bCs/>
          <w:sz w:val="24"/>
          <w:szCs w:val="24"/>
          <w:lang w:eastAsia="zh-CN"/>
        </w:rPr>
        <w:t>Netherlands</w:t>
      </w:r>
      <w:r w:rsidR="005432D9" w:rsidRPr="008B1D34">
        <w:rPr>
          <w:rFonts w:eastAsia="SimSun"/>
          <w:bCs/>
          <w:sz w:val="24"/>
          <w:szCs w:val="24"/>
          <w:lang w:eastAsia="zh-CN"/>
        </w:rPr>
        <w:t xml:space="preserve">, </w:t>
      </w:r>
      <w:r w:rsidRPr="00C67B54">
        <w:rPr>
          <w:rFonts w:eastAsia="SimSun"/>
          <w:bCs/>
          <w:sz w:val="24"/>
          <w:szCs w:val="24"/>
          <w:lang w:eastAsia="zh-CN"/>
        </w:rPr>
        <w:t>Aug 19th – 23rd,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E9A8C3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8.4.2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F4C838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38D5">
        <w:rPr>
          <w:rFonts w:ascii="Arial" w:hAnsi="Arial" w:cs="Arial"/>
          <w:b/>
          <w:bCs/>
          <w:sz w:val="24"/>
        </w:rPr>
        <w:t>LP-WUS in IDLE and 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was agreed for Low Power Wake Up Signal and Receivers designs. These designs are to be primarily targeted at delay and power-sensitive, small form-factor devices, such as industrial sensors, controllers and wearables. Unlike previous power saving study items, the objectives for this study encompasses new signals and receiver architectures</w:t>
      </w:r>
      <w:r>
        <w:t>.</w:t>
      </w:r>
    </w:p>
    <w:p w14:paraId="1D6A54F6" w14:textId="77777777" w:rsidR="002B5C11" w:rsidRDefault="002B5C11" w:rsidP="009339CB"/>
    <w:tbl>
      <w:tblPr>
        <w:tblStyle w:val="TableGrid"/>
        <w:tblW w:w="0" w:type="auto"/>
        <w:tblLook w:val="04A0" w:firstRow="1" w:lastRow="0" w:firstColumn="1" w:lastColumn="0" w:noHBand="0" w:noVBand="1"/>
      </w:tblPr>
      <w:tblGrid>
        <w:gridCol w:w="9631"/>
      </w:tblGrid>
      <w:tr w:rsidR="002B5C11" w14:paraId="02193794" w14:textId="77777777" w:rsidTr="002B5C11">
        <w:tc>
          <w:tcPr>
            <w:tcW w:w="9631" w:type="dxa"/>
          </w:tcPr>
          <w:p w14:paraId="1FEC432D" w14:textId="77777777" w:rsidR="002B5C11" w:rsidRDefault="002B5C11" w:rsidP="002B5C11">
            <w:pPr>
              <w:spacing w:after="0"/>
              <w:rPr>
                <w:bCs/>
                <w:lang w:eastAsia="zh-CN"/>
              </w:rPr>
            </w:pPr>
            <w:bookmarkStart w:id="0" w:name="_Hlk153295984"/>
            <w:r>
              <w:rPr>
                <w:bCs/>
                <w:lang w:eastAsia="zh-CN"/>
              </w:rPr>
              <w:t>The objectives of the work item are the following:</w:t>
            </w:r>
          </w:p>
          <w:p w14:paraId="45D9E572"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eastAsia="en-GB"/>
              </w:rPr>
            </w:pPr>
            <w:r>
              <w:rPr>
                <w:bCs/>
                <w:lang w:val="en-US" w:eastAsia="zh-CN" w:bidi="ar"/>
              </w:rPr>
              <w:t>To specify an LP-WUS design commonly applicable to both IDLE/INACTIVE and CONNECTED modes (RAN1, RAN4)</w:t>
            </w:r>
          </w:p>
          <w:p w14:paraId="534426E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 xml:space="preserve">Specify OOK (OOK-1 and/or OOK-4) based LP-WUS with </w:t>
            </w:r>
            <w:r>
              <w:t>overlaid OFDM sequence(s) over OOK symbol</w:t>
            </w:r>
          </w:p>
          <w:p w14:paraId="789603C6"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E1BAD2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At least duty-cycled monitoring of LP-WUS is supported</w:t>
            </w:r>
          </w:p>
          <w:p w14:paraId="76CF8710"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27D6A59"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7065A3C8"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LP-SS with periodicity with Yms for LP-WUR, for synchronization and/or RRM for serving cell. (RAN1, RAN4)</w:t>
            </w:r>
          </w:p>
          <w:p w14:paraId="06492C7E"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403C8290"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6C69AF44"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eastAsia="zh-CN" w:bidi="ar"/>
              </w:rPr>
            </w:pPr>
            <w:r>
              <w:rPr>
                <w:bCs/>
                <w:lang w:val="en-US" w:eastAsia="zh-CN" w:bidi="ar"/>
              </w:rPr>
              <w:t>Y will be decided within WI. 320ms is the start point.</w:t>
            </w:r>
          </w:p>
          <w:p w14:paraId="2D75C58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1A28AA2F"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5159F7F"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rPr>
              <w:t>Check in RAN#105 for potential TU adjustment in RAN2</w:t>
            </w:r>
          </w:p>
          <w:p w14:paraId="49949D7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lastRenderedPageBreak/>
              <w:t>Note: In CONNECTED mode, UE MR ultra-deep sleep is not considered, and UE RRM/RLM/BFD/CSI measurements are performed by MR</w:t>
            </w:r>
          </w:p>
          <w:p w14:paraId="656A696C"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Note: The target coverage of LP-WUS and LP-SS shall be the coverage of PUSCH for message3.</w:t>
            </w:r>
          </w:p>
          <w:p w14:paraId="3E5B4A19"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rPr>
              <w:t>Note: The optimization of LP-WUS signal design for idle/inactive mode is prioritized over the optimization for connected mode.</w:t>
            </w:r>
          </w:p>
          <w:bookmarkEnd w:id="0"/>
          <w:p w14:paraId="4F367035" w14:textId="77777777" w:rsidR="002B5C11" w:rsidRDefault="002B5C11" w:rsidP="002B5C11">
            <w:pPr>
              <w:numPr>
                <w:ilvl w:val="0"/>
                <w:numId w:val="19"/>
              </w:numPr>
              <w:overflowPunct w:val="0"/>
              <w:autoSpaceDE w:val="0"/>
              <w:autoSpaceDN w:val="0"/>
              <w:adjustRightInd w:val="0"/>
              <w:spacing w:beforeLines="50" w:before="120" w:after="0"/>
              <w:ind w:hanging="357"/>
              <w:rPr>
                <w:bCs/>
                <w:lang w:val="en-US"/>
              </w:rPr>
            </w:pPr>
            <w:r>
              <w:rPr>
                <w:bCs/>
                <w:lang w:val="en-US"/>
              </w:rPr>
              <w:t>Specify the necessary RAN4 core requirement(s) to support the feature (RAN4).</w:t>
            </w:r>
          </w:p>
          <w:p w14:paraId="767B73E6" w14:textId="77777777" w:rsidR="002B5C11" w:rsidRDefault="002B5C11" w:rsidP="002B5C11">
            <w:pPr>
              <w:numPr>
                <w:ilvl w:val="1"/>
                <w:numId w:val="19"/>
              </w:numPr>
              <w:overflowPunct w:val="0"/>
              <w:autoSpaceDE w:val="0"/>
              <w:autoSpaceDN w:val="0"/>
              <w:adjustRightInd w:val="0"/>
              <w:spacing w:beforeLines="50" w:before="120" w:after="0"/>
              <w:rPr>
                <w:bCs/>
                <w:lang w:val="en-US"/>
              </w:rPr>
            </w:pPr>
            <w:bookmarkStart w:id="1"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1"/>
            <w:r>
              <w:rPr>
                <w:bCs/>
                <w:lang w:val="en-US"/>
              </w:rPr>
              <w:t>low-power wake-up receiver performance</w:t>
            </w:r>
          </w:p>
          <w:p w14:paraId="791A25CD"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Define guard RBs for ACS and ASCS cases</w:t>
            </w:r>
          </w:p>
          <w:p w14:paraId="7B29355C"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Study testability of above requirements</w:t>
            </w:r>
          </w:p>
          <w:p w14:paraId="76F10F6B"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18E96599" w14:textId="77777777" w:rsidR="002B5C11" w:rsidRDefault="002B5C11" w:rsidP="002B5C11">
            <w:pPr>
              <w:numPr>
                <w:ilvl w:val="1"/>
                <w:numId w:val="19"/>
              </w:numPr>
              <w:overflowPunct w:val="0"/>
              <w:autoSpaceDE w:val="0"/>
              <w:autoSpaceDN w:val="0"/>
              <w:adjustRightInd w:val="0"/>
              <w:spacing w:beforeLines="50" w:before="120" w:after="0"/>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4CEB5D72" w14:textId="77777777" w:rsidR="002B5C11" w:rsidRDefault="002B5C11" w:rsidP="002B5C11">
            <w:pPr>
              <w:numPr>
                <w:ilvl w:val="2"/>
                <w:numId w:val="19"/>
              </w:numPr>
              <w:overflowPunct w:val="0"/>
              <w:autoSpaceDE w:val="0"/>
              <w:autoSpaceDN w:val="0"/>
              <w:adjustRightInd w:val="0"/>
              <w:spacing w:beforeLines="50" w:before="120" w:after="0"/>
              <w:rPr>
                <w:bCs/>
                <w:lang w:val="en-US"/>
              </w:rPr>
            </w:pPr>
            <w:r>
              <w:t>C</w:t>
            </w:r>
            <w:r>
              <w:rPr>
                <w:bCs/>
              </w:rPr>
              <w:t>urrent NR BS requirements is baseline</w:t>
            </w:r>
          </w:p>
          <w:p w14:paraId="7C6CC776" w14:textId="77777777" w:rsidR="002B5C11" w:rsidRDefault="002B5C11" w:rsidP="002B5C11">
            <w:pPr>
              <w:numPr>
                <w:ilvl w:val="1"/>
                <w:numId w:val="19"/>
              </w:numPr>
              <w:overflowPunct w:val="0"/>
              <w:autoSpaceDE w:val="0"/>
              <w:autoSpaceDN w:val="0"/>
              <w:adjustRightInd w:val="0"/>
              <w:spacing w:beforeLines="50" w:before="120" w:after="0"/>
              <w:rPr>
                <w:bCs/>
              </w:rPr>
            </w:pPr>
            <w:r>
              <w:rPr>
                <w:bCs/>
              </w:rPr>
              <w:t>Specify necessary RRM requirements</w:t>
            </w:r>
          </w:p>
          <w:p w14:paraId="4681F177" w14:textId="77777777" w:rsidR="002B5C11" w:rsidRDefault="002B5C11" w:rsidP="009339CB"/>
        </w:tc>
      </w:tr>
    </w:tbl>
    <w:p w14:paraId="1C2B32DA" w14:textId="77777777" w:rsidR="002B5C11" w:rsidRDefault="002B5C11" w:rsidP="009339CB"/>
    <w:p w14:paraId="030B2525" w14:textId="77777777" w:rsidR="00971332" w:rsidRDefault="00971332" w:rsidP="00971332">
      <w:r>
        <w:t>The following was agreed in RAN2#126 meeting:</w:t>
      </w:r>
    </w:p>
    <w:tbl>
      <w:tblPr>
        <w:tblStyle w:val="TableGrid"/>
        <w:tblW w:w="0" w:type="auto"/>
        <w:tblLook w:val="04A0" w:firstRow="1" w:lastRow="0" w:firstColumn="1" w:lastColumn="0" w:noHBand="0" w:noVBand="1"/>
      </w:tblPr>
      <w:tblGrid>
        <w:gridCol w:w="9631"/>
      </w:tblGrid>
      <w:tr w:rsidR="00971332" w14:paraId="21FBA86C" w14:textId="77777777" w:rsidTr="006461D3">
        <w:tc>
          <w:tcPr>
            <w:tcW w:w="9631" w:type="dxa"/>
          </w:tcPr>
          <w:p w14:paraId="5D9CA3A1" w14:textId="77777777" w:rsidR="00971332" w:rsidRDefault="00971332" w:rsidP="006461D3">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5D3E3141" w14:textId="77777777" w:rsidR="00971332" w:rsidRPr="00404287" w:rsidRDefault="00971332" w:rsidP="006461D3">
            <w:pPr>
              <w:pStyle w:val="Agreement"/>
              <w:numPr>
                <w:ilvl w:val="0"/>
                <w:numId w:val="0"/>
              </w:numPr>
              <w:ind w:left="1619"/>
              <w:rPr>
                <w:lang w:val="en-US"/>
              </w:rPr>
            </w:pPr>
          </w:p>
          <w:p w14:paraId="35F46C52" w14:textId="77777777" w:rsidR="00971332" w:rsidRDefault="00971332" w:rsidP="00971332">
            <w:pPr>
              <w:pStyle w:val="Agreement"/>
              <w:numPr>
                <w:ilvl w:val="0"/>
                <w:numId w:val="22"/>
              </w:numPr>
            </w:pPr>
            <w:r>
              <w:rPr>
                <w:lang w:eastAsia="zh-CN"/>
              </w:rPr>
              <w:t xml:space="preserve">RAN2 will further discuss the details about LP-WUS monitoring entry/exit conditions based on RAN1’s existing working assumptions. </w:t>
            </w:r>
          </w:p>
          <w:p w14:paraId="7CEC5A3B" w14:textId="77777777" w:rsidR="00971332" w:rsidRDefault="00971332" w:rsidP="00971332">
            <w:pPr>
              <w:pStyle w:val="Agreement"/>
              <w:numPr>
                <w:ilvl w:val="0"/>
                <w:numId w:val="22"/>
              </w:numPr>
            </w:pPr>
            <w:r>
              <w:t>The LP-WUS related configuration in SIB at least include the following information for IDLE/INACTIVE:</w:t>
            </w:r>
          </w:p>
          <w:p w14:paraId="124E7E7A" w14:textId="77777777" w:rsidR="00971332" w:rsidRDefault="00971332" w:rsidP="006461D3">
            <w:pPr>
              <w:pStyle w:val="Agreement"/>
              <w:numPr>
                <w:ilvl w:val="0"/>
                <w:numId w:val="0"/>
              </w:numPr>
              <w:tabs>
                <w:tab w:val="left" w:pos="720"/>
              </w:tabs>
              <w:ind w:left="1619"/>
            </w:pPr>
            <w:r>
              <w:t>-</w:t>
            </w:r>
            <w:r>
              <w:tab/>
              <w:t>LP-SS configuration</w:t>
            </w:r>
          </w:p>
          <w:p w14:paraId="6856B74E" w14:textId="77777777" w:rsidR="00971332" w:rsidRDefault="00971332" w:rsidP="006461D3">
            <w:pPr>
              <w:pStyle w:val="Agreement"/>
              <w:numPr>
                <w:ilvl w:val="0"/>
                <w:numId w:val="0"/>
              </w:numPr>
              <w:tabs>
                <w:tab w:val="left" w:pos="720"/>
              </w:tabs>
              <w:ind w:left="1619"/>
            </w:pPr>
            <w:r>
              <w:t>-</w:t>
            </w:r>
            <w:r>
              <w:tab/>
              <w:t>LP-WUS configuration</w:t>
            </w:r>
          </w:p>
          <w:p w14:paraId="61C312E3" w14:textId="77777777" w:rsidR="00971332" w:rsidRDefault="00971332" w:rsidP="006461D3">
            <w:pPr>
              <w:pStyle w:val="Agreement"/>
              <w:numPr>
                <w:ilvl w:val="0"/>
                <w:numId w:val="0"/>
              </w:numPr>
              <w:tabs>
                <w:tab w:val="left" w:pos="720"/>
              </w:tabs>
              <w:ind w:left="1619"/>
              <w:rPr>
                <w:strike/>
              </w:rPr>
            </w:pPr>
            <w:r>
              <w:t>-</w:t>
            </w:r>
            <w:r>
              <w:tab/>
              <w:t>Entry/exit condition for LP-WUS monitoring (FFS if it is always configured)</w:t>
            </w:r>
          </w:p>
          <w:p w14:paraId="13B8695B" w14:textId="77777777" w:rsidR="00971332" w:rsidRDefault="00971332" w:rsidP="00971332">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24AE8833" w14:textId="77777777" w:rsidR="00971332" w:rsidRDefault="00971332" w:rsidP="00971332">
            <w:pPr>
              <w:pStyle w:val="Agreement"/>
              <w:numPr>
                <w:ilvl w:val="0"/>
                <w:numId w:val="22"/>
              </w:numPr>
              <w:rPr>
                <w:lang w:eastAsia="zh-CN"/>
              </w:rPr>
            </w:pPr>
            <w:r>
              <w:rPr>
                <w:lang w:eastAsia="zh-CN"/>
              </w:rPr>
              <w:t>Baseline for exit condition definition: If the serving cell measurement result based on LR is below a threshold (if configured), UE monitors PO as in legacy and it may stop monitoring the LP-WUS.</w:t>
            </w:r>
          </w:p>
          <w:p w14:paraId="56ABD296" w14:textId="77777777" w:rsidR="00971332" w:rsidRDefault="00971332" w:rsidP="00971332">
            <w:pPr>
              <w:pStyle w:val="Agreement"/>
              <w:numPr>
                <w:ilvl w:val="0"/>
                <w:numId w:val="22"/>
              </w:numPr>
              <w:rPr>
                <w:lang w:eastAsia="zh-CN"/>
              </w:rPr>
            </w:pPr>
            <w:r>
              <w:rPr>
                <w:lang w:eastAsia="zh-CN"/>
              </w:rPr>
              <w:t>RAN2 understand that if UE is configured with CN-based LP-WUS subgrouping, it is up to CN to assign the LP-WUS subgroup ID to the UE.</w:t>
            </w:r>
          </w:p>
          <w:p w14:paraId="18BA97F7" w14:textId="77777777" w:rsidR="00971332" w:rsidRDefault="00971332" w:rsidP="00971332">
            <w:pPr>
              <w:pStyle w:val="Agreement"/>
              <w:numPr>
                <w:ilvl w:val="0"/>
                <w:numId w:val="22"/>
              </w:numPr>
              <w:rPr>
                <w:lang w:eastAsia="zh-CN"/>
              </w:rPr>
            </w:pPr>
            <w:r>
              <w:rPr>
                <w:lang w:eastAsia="zh-CN"/>
              </w:rPr>
              <w:t xml:space="preserve">RAN2 assume the maximum number of subgroups that can be configured for LP-WUS subgrouping is no less than 8. </w:t>
            </w:r>
          </w:p>
          <w:p w14:paraId="49649F8B" w14:textId="77777777" w:rsidR="00971332" w:rsidRDefault="00971332" w:rsidP="006461D3">
            <w:pPr>
              <w:pStyle w:val="Doc-text2"/>
              <w:rPr>
                <w:rFonts w:eastAsia="SimSun"/>
                <w:lang w:eastAsia="zh-CN"/>
              </w:rPr>
            </w:pPr>
          </w:p>
          <w:p w14:paraId="344975E8" w14:textId="77777777" w:rsidR="00971332" w:rsidRDefault="00971332" w:rsidP="00971332">
            <w:pPr>
              <w:pStyle w:val="Agreement"/>
              <w:numPr>
                <w:ilvl w:val="0"/>
                <w:numId w:val="22"/>
              </w:numPr>
              <w:rPr>
                <w:strike/>
                <w:lang w:eastAsia="zh-CN"/>
              </w:rPr>
            </w:pPr>
            <w:r>
              <w:rPr>
                <w:lang w:eastAsia="zh-CN"/>
              </w:rPr>
              <w:t>From RAN2 perspective, no new procedure is introduced for SI reception/updates.</w:t>
            </w:r>
          </w:p>
          <w:p w14:paraId="013D1A08" w14:textId="77777777" w:rsidR="00971332" w:rsidRDefault="00971332" w:rsidP="006461D3">
            <w:pPr>
              <w:pStyle w:val="Doc-text2"/>
              <w:rPr>
                <w:rFonts w:eastAsia="SimSun"/>
                <w:lang w:eastAsia="zh-CN"/>
              </w:rPr>
            </w:pPr>
          </w:p>
          <w:p w14:paraId="201C42BB" w14:textId="77777777" w:rsidR="00971332" w:rsidRDefault="00971332" w:rsidP="006461D3">
            <w:pPr>
              <w:pStyle w:val="Doc-text2"/>
              <w:rPr>
                <w:lang w:eastAsia="zh-CN"/>
              </w:rPr>
            </w:pPr>
          </w:p>
          <w:p w14:paraId="7738BEA6" w14:textId="77777777" w:rsidR="00971332" w:rsidRDefault="00971332" w:rsidP="006461D3">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56F6CCEB" w14:textId="77777777" w:rsidR="00971332" w:rsidRDefault="00971332" w:rsidP="00971332">
            <w:pPr>
              <w:pStyle w:val="Agreement"/>
              <w:numPr>
                <w:ilvl w:val="0"/>
                <w:numId w:val="22"/>
              </w:numPr>
              <w:rPr>
                <w:lang w:eastAsia="zh-CN"/>
              </w:rPr>
            </w:pPr>
            <w:r>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5520371A" w14:textId="77777777" w:rsidR="00971332" w:rsidRDefault="00971332" w:rsidP="00971332">
            <w:pPr>
              <w:pStyle w:val="Agreement"/>
              <w:numPr>
                <w:ilvl w:val="0"/>
                <w:numId w:val="22"/>
              </w:numPr>
              <w:rPr>
                <w:lang w:eastAsia="zh-CN"/>
              </w:rPr>
            </w:pPr>
            <w:r>
              <w:rPr>
                <w:lang w:eastAsia="zh-CN"/>
              </w:rPr>
              <w:t xml:space="preserve">RAN2 understand that the RRM measurement of the neighboring cell can only be performed by MR. Can discuss again if RAN1 inform us otherwise. </w:t>
            </w:r>
          </w:p>
          <w:p w14:paraId="4FEEB138" w14:textId="77777777" w:rsidR="00971332" w:rsidRPr="00404287" w:rsidRDefault="00971332" w:rsidP="00971332">
            <w:pPr>
              <w:pStyle w:val="Agreement"/>
              <w:numPr>
                <w:ilvl w:val="0"/>
                <w:numId w:val="22"/>
              </w:numPr>
              <w:rPr>
                <w:lang w:eastAsia="zh-CN"/>
              </w:rPr>
            </w:pPr>
            <w:r>
              <w:rPr>
                <w:lang w:eastAsia="zh-CN"/>
              </w:rPr>
              <w:t xml:space="preserve">RAN2 will further discuss the neighbor cell measurement relaxation criteria (if the UE is using LR to measure the serving cell), e.g., considering reuse Rel-16 criteria for ‘not at cell edge’ and ‘low mobility’. </w:t>
            </w:r>
          </w:p>
          <w:p w14:paraId="131183D8" w14:textId="77777777" w:rsidR="00971332" w:rsidRDefault="00971332" w:rsidP="006461D3"/>
        </w:tc>
      </w:tr>
    </w:tbl>
    <w:p w14:paraId="4E78FE7E" w14:textId="77777777" w:rsidR="00971332" w:rsidRDefault="00971332" w:rsidP="00971332"/>
    <w:p w14:paraId="773B973D" w14:textId="574AC6AF"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8A3785D" w14:textId="77777777" w:rsidR="007800A4" w:rsidRDefault="007800A4" w:rsidP="007800A4">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409A5A48" w14:textId="77777777" w:rsidR="002B5C11" w:rsidRDefault="002B5C11" w:rsidP="009339CB"/>
    <w:p w14:paraId="7D484B6E" w14:textId="0155E0D4" w:rsidR="009339CB" w:rsidRPr="006E13D1" w:rsidRDefault="009339CB" w:rsidP="009339CB">
      <w:pPr>
        <w:pStyle w:val="Heading1"/>
      </w:pPr>
      <w:r w:rsidRPr="006E13D1">
        <w:t>2</w:t>
      </w:r>
      <w:r w:rsidRPr="006E13D1">
        <w:tab/>
      </w:r>
      <w:r w:rsidR="00DE7A34">
        <w:t>Discussion</w:t>
      </w:r>
    </w:p>
    <w:p w14:paraId="5FB39CA6" w14:textId="77777777" w:rsidR="00956228" w:rsidRPr="00956228" w:rsidRDefault="00956228" w:rsidP="00956228"/>
    <w:p w14:paraId="4355A617" w14:textId="054496B7"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lastRenderedPageBreak/>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determine entry and exit conditions for LP-WUS monitoring w</w:t>
      </w:r>
      <w:r w:rsidR="00BD058A">
        <w:rPr>
          <w:rFonts w:ascii="Times New Roman" w:hAnsi="Times New Roman" w:cs="Times New Roman"/>
          <w:bCs/>
          <w:sz w:val="20"/>
          <w:szCs w:val="20"/>
          <w:lang w:val="en-GB"/>
        </w:rPr>
        <w:t>as</w:t>
      </w:r>
      <w:r w:rsidRPr="00956228">
        <w:rPr>
          <w:rFonts w:ascii="Times New Roman" w:hAnsi="Times New Roman" w:cs="Times New Roman"/>
          <w:bCs/>
          <w:sz w:val="20"/>
          <w:szCs w:val="20"/>
          <w:lang w:val="en-GB"/>
        </w:rPr>
        <w:t xml:space="preserve"> identified</w:t>
      </w:r>
      <w:r w:rsidR="00BD058A">
        <w:rPr>
          <w:rFonts w:ascii="Times New Roman" w:hAnsi="Times New Roman" w:cs="Times New Roman"/>
          <w:bCs/>
          <w:sz w:val="20"/>
          <w:szCs w:val="20"/>
          <w:lang w:val="en-GB"/>
        </w:rPr>
        <w:t>.</w:t>
      </w:r>
      <w:r w:rsidRPr="00956228">
        <w:rPr>
          <w:rFonts w:ascii="Times New Roman" w:hAnsi="Times New Roman" w:cs="Times New Roman"/>
          <w:bCs/>
          <w:sz w:val="20"/>
          <w:szCs w:val="20"/>
          <w:lang w:val="en-GB"/>
        </w:rPr>
        <w:t xml:space="preserve"> These procedures are mostly related to RAN2 and the objective (overall) is to be led by RAN2</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529C12C7" w14:textId="77777777" w:rsidR="00463662" w:rsidRDefault="00463662" w:rsidP="00463662">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368FD0B2"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Now in scope of the LR based measurements, both entry/exit conditions would be relevant. For entry/exit condition, it could be expected that network can set a threshold for the UE</w:t>
      </w:r>
      <w:r>
        <w:rPr>
          <w:rFonts w:ascii="Times New Roman" w:hAnsi="Times New Roman" w:cs="Times New Roman"/>
          <w:bCs/>
          <w:sz w:val="20"/>
          <w:szCs w:val="20"/>
          <w:lang w:val="en-GB"/>
        </w:rPr>
        <w:t xml:space="preserve"> in the system information</w:t>
      </w:r>
      <w:r w:rsidRPr="00956228">
        <w:rPr>
          <w:rFonts w:ascii="Times New Roman" w:hAnsi="Times New Roman" w:cs="Times New Roman"/>
          <w:bCs/>
          <w:sz w:val="20"/>
          <w:szCs w:val="20"/>
          <w:lang w:val="en-GB"/>
        </w:rPr>
        <w:t>, after which the LP-WUS should not be monitored and vice versa when LP-WUS should be monitored</w:t>
      </w:r>
      <w:r>
        <w:rPr>
          <w:rFonts w:ascii="Times New Roman" w:hAnsi="Times New Roman" w:cs="Times New Roman"/>
          <w:bCs/>
          <w:sz w:val="20"/>
          <w:szCs w:val="20"/>
          <w:lang w:val="en-GB"/>
        </w:rPr>
        <w:t xml:space="preserve">.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r w:rsidR="00646828">
        <w:rPr>
          <w:rFonts w:ascii="Times New Roman" w:hAnsi="Times New Roman" w:cs="Times New Roman"/>
          <w:bCs/>
          <w:sz w:val="20"/>
          <w:szCs w:val="20"/>
          <w:lang w:val="en-GB"/>
        </w:rPr>
        <w:t xml:space="preserve">. </w:t>
      </w:r>
    </w:p>
    <w:p w14:paraId="0813F8F9" w14:textId="77777777" w:rsidR="00646828" w:rsidRDefault="00646828" w:rsidP="00956228">
      <w:pPr>
        <w:pStyle w:val="Normaltimes"/>
        <w:rPr>
          <w:rFonts w:ascii="Times New Roman" w:hAnsi="Times New Roman" w:cs="Times New Roman"/>
          <w:bCs/>
          <w:sz w:val="20"/>
          <w:szCs w:val="20"/>
          <w:lang w:val="en-GB"/>
        </w:rPr>
      </w:pPr>
    </w:p>
    <w:p w14:paraId="0659F416" w14:textId="6B307F5D" w:rsidR="00646828"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The following baseline was agreed in the previous meeting:</w:t>
      </w:r>
    </w:p>
    <w:tbl>
      <w:tblPr>
        <w:tblStyle w:val="TableGrid"/>
        <w:tblW w:w="0" w:type="auto"/>
        <w:tblLook w:val="04A0" w:firstRow="1" w:lastRow="0" w:firstColumn="1" w:lastColumn="0" w:noHBand="0" w:noVBand="1"/>
      </w:tblPr>
      <w:tblGrid>
        <w:gridCol w:w="9631"/>
      </w:tblGrid>
      <w:tr w:rsidR="00646828" w14:paraId="6A7DB2E8" w14:textId="77777777" w:rsidTr="00646828">
        <w:tc>
          <w:tcPr>
            <w:tcW w:w="9631" w:type="dxa"/>
          </w:tcPr>
          <w:p w14:paraId="6767C1D1" w14:textId="77777777" w:rsidR="00646828" w:rsidRDefault="00646828" w:rsidP="00646828">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4C54C105" w14:textId="22647233" w:rsidR="00646828" w:rsidRDefault="00646828" w:rsidP="00646828">
            <w:pPr>
              <w:pStyle w:val="Agreement"/>
              <w:numPr>
                <w:ilvl w:val="0"/>
                <w:numId w:val="22"/>
              </w:numPr>
              <w:rPr>
                <w:rFonts w:ascii="Times New Roman" w:hAnsi="Times New Roman"/>
                <w:bCs/>
                <w:szCs w:val="20"/>
              </w:rPr>
            </w:pPr>
            <w:r>
              <w:rPr>
                <w:lang w:eastAsia="zh-CN"/>
              </w:rPr>
              <w:t>Baseline for exit condition definition: If the serving cell measurement result based on LR is below a threshold (if configured), UE monitors PO as in legacy and it may stop monitoring the LP-WUS.</w:t>
            </w:r>
          </w:p>
        </w:tc>
      </w:tr>
    </w:tbl>
    <w:p w14:paraId="7B6AE792" w14:textId="77777777" w:rsidR="00646828" w:rsidRDefault="00646828" w:rsidP="00956228">
      <w:pPr>
        <w:pStyle w:val="Normaltimes"/>
        <w:rPr>
          <w:rFonts w:ascii="Times New Roman" w:hAnsi="Times New Roman" w:cs="Times New Roman"/>
          <w:bCs/>
          <w:sz w:val="20"/>
          <w:szCs w:val="20"/>
          <w:lang w:val="en-GB"/>
        </w:rPr>
      </w:pPr>
    </w:p>
    <w:p w14:paraId="5DE107FD" w14:textId="7AE8A0B7" w:rsidR="00300E0F"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Based on the above baseline the UE behaviour is not clear i.e. it is not clear when the UE monitors LP-WUS or legacy PO. Deterministic and testable UE behaviour should always be targeted and therefore we propose the following:</w:t>
      </w:r>
    </w:p>
    <w:p w14:paraId="2EDE2BDD" w14:textId="77777777" w:rsidR="00646828" w:rsidRDefault="00646828" w:rsidP="00956228">
      <w:pPr>
        <w:pStyle w:val="Normaltimes"/>
        <w:rPr>
          <w:rFonts w:ascii="Times New Roman" w:hAnsi="Times New Roman" w:cs="Times New Roman"/>
          <w:b/>
          <w:sz w:val="20"/>
          <w:szCs w:val="20"/>
          <w:lang w:val="en-GB"/>
        </w:rPr>
      </w:pPr>
    </w:p>
    <w:p w14:paraId="1AB44016" w14:textId="3C0C3CD7" w:rsidR="00646828" w:rsidRDefault="00646828" w:rsidP="006468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194311DA" w14:textId="1C148910" w:rsidR="00B54BA4" w:rsidRDefault="00463662"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E06A6C">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w:t>
      </w:r>
      <w:r w:rsidR="00B54BA4">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sidR="00D54C87">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sidR="00966081">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sidR="00E06A6C">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1DE6BA76" w14:textId="1D8540E8" w:rsidR="00463662" w:rsidRPr="00463662" w:rsidRDefault="00B54BA4"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E06A6C">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00463662" w:rsidRPr="00463662">
        <w:rPr>
          <w:rFonts w:ascii="Times New Roman" w:hAnsi="Times New Roman" w:cs="Times New Roman"/>
          <w:b/>
          <w:sz w:val="20"/>
          <w:szCs w:val="20"/>
          <w:lang w:val="en-GB"/>
        </w:rPr>
        <w:t xml:space="preserve">stop LP-WUS monitoring when </w:t>
      </w:r>
      <w:r w:rsidR="00D54C87">
        <w:rPr>
          <w:rFonts w:ascii="Times New Roman" w:hAnsi="Times New Roman" w:cs="Times New Roman"/>
          <w:b/>
          <w:sz w:val="20"/>
          <w:szCs w:val="20"/>
          <w:lang w:val="en-GB"/>
        </w:rPr>
        <w:t>LP-WUS monitoring</w:t>
      </w:r>
      <w:r w:rsidR="00D54C87"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exit condition</w:t>
      </w:r>
      <w:r w:rsidR="00966081">
        <w:rPr>
          <w:rFonts w:ascii="Times New Roman" w:hAnsi="Times New Roman" w:cs="Times New Roman"/>
          <w:b/>
          <w:sz w:val="20"/>
          <w:szCs w:val="20"/>
          <w:lang w:val="en-GB"/>
        </w:rPr>
        <w:t xml:space="preserve"> (worse than threshold)</w:t>
      </w:r>
      <w:r w:rsidR="00966081"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is fulfilled</w:t>
      </w:r>
      <w:r w:rsidR="00D54C87">
        <w:rPr>
          <w:rFonts w:ascii="Times New Roman" w:hAnsi="Times New Roman" w:cs="Times New Roman"/>
          <w:b/>
          <w:sz w:val="20"/>
          <w:szCs w:val="20"/>
          <w:lang w:val="en-GB"/>
        </w:rPr>
        <w:t>.</w:t>
      </w:r>
      <w:r w:rsidR="00646828">
        <w:rPr>
          <w:rFonts w:ascii="Times New Roman" w:hAnsi="Times New Roman" w:cs="Times New Roman"/>
          <w:b/>
          <w:sz w:val="20"/>
          <w:szCs w:val="20"/>
          <w:lang w:val="en-GB"/>
        </w:rPr>
        <w:t xml:space="preserve"> In this case the UE shall monitor legacy PO instead of LP-WUS. </w:t>
      </w:r>
    </w:p>
    <w:p w14:paraId="542F7047" w14:textId="77777777" w:rsidR="00966081" w:rsidRDefault="00966081" w:rsidP="00956228">
      <w:pPr>
        <w:pStyle w:val="Normaltimes"/>
        <w:rPr>
          <w:rFonts w:ascii="Times New Roman" w:hAnsi="Times New Roman" w:cs="Times New Roman"/>
          <w:bCs/>
          <w:sz w:val="20"/>
          <w:szCs w:val="20"/>
          <w:lang w:val="en-GB"/>
        </w:rPr>
      </w:pPr>
    </w:p>
    <w:p w14:paraId="382EBC70" w14:textId="50C8B148" w:rsidR="00956228" w:rsidRPr="00956228" w:rsidRDefault="00EE5A84"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E</w:t>
      </w:r>
      <w:r w:rsidR="00956228" w:rsidRPr="00956228">
        <w:rPr>
          <w:rFonts w:ascii="Times New Roman" w:hAnsi="Times New Roman" w:cs="Times New Roman"/>
          <w:bCs/>
          <w:sz w:val="20"/>
          <w:szCs w:val="20"/>
          <w:lang w:val="en-GB"/>
        </w:rPr>
        <w:t xml:space="preserve">vidently </w:t>
      </w:r>
      <w:r>
        <w:rPr>
          <w:rFonts w:ascii="Times New Roman" w:hAnsi="Times New Roman" w:cs="Times New Roman"/>
          <w:bCs/>
          <w:sz w:val="20"/>
          <w:szCs w:val="20"/>
          <w:lang w:val="en-GB"/>
        </w:rPr>
        <w:t xml:space="preserve">both exit and entry condition </w:t>
      </w:r>
      <w:r w:rsidR="00956228" w:rsidRPr="00956228">
        <w:rPr>
          <w:rFonts w:ascii="Times New Roman" w:hAnsi="Times New Roman" w:cs="Times New Roman"/>
          <w:bCs/>
          <w:sz w:val="20"/>
          <w:szCs w:val="20"/>
          <w:lang w:val="en-GB"/>
        </w:rPr>
        <w:t xml:space="preserve">to be considered would relate to the coverage, partly of the cell and more importantly to the LP-WUS coverage. For entry/exit condition, it would seem that most relevant measurement quantity would </w:t>
      </w:r>
      <w:r w:rsidR="00644DDA">
        <w:rPr>
          <w:rFonts w:ascii="Times New Roman" w:hAnsi="Times New Roman" w:cs="Times New Roman"/>
          <w:bCs/>
          <w:sz w:val="20"/>
          <w:szCs w:val="20"/>
          <w:lang w:val="en-GB"/>
        </w:rPr>
        <w:t xml:space="preserve">be </w:t>
      </w:r>
      <w:r w:rsidR="00956228" w:rsidRPr="00956228">
        <w:rPr>
          <w:rFonts w:ascii="Times New Roman" w:hAnsi="Times New Roman" w:cs="Times New Roman"/>
          <w:bCs/>
          <w:sz w:val="20"/>
          <w:szCs w:val="20"/>
          <w:lang w:val="en-GB"/>
        </w:rPr>
        <w:t>such that allows some coverage/range-based threshold to be set. For MR based measurements, it would seem likely that existing measurement quantities suffice as they cover both absolute and relative quantities.</w:t>
      </w:r>
      <w:r w:rsidR="001A1311">
        <w:rPr>
          <w:rFonts w:ascii="Times New Roman" w:hAnsi="Times New Roman" w:cs="Times New Roman"/>
          <w:bCs/>
          <w:sz w:val="20"/>
          <w:szCs w:val="20"/>
          <w:lang w:val="en-GB"/>
        </w:rPr>
        <w:t xml:space="preserve"> Since the coverage of the NR and LP-WUS can be different it would be difficult for the network to set proper threshold for LP-WUS monitoring only based on the cell coverage measurement. Therefore, it would be justifiable to consider also LR measurement for the LP-WUS monitoring entry condition. When the UE is not monitoring LP-WUS both LR and MR based measurement could be considered for LP-WUS monitoring entry condition</w:t>
      </w:r>
      <w:r w:rsidR="00956228" w:rsidRPr="00956228">
        <w:rPr>
          <w:rFonts w:ascii="Times New Roman" w:hAnsi="Times New Roman" w:cs="Times New Roman"/>
          <w:bCs/>
          <w:sz w:val="20"/>
          <w:szCs w:val="20"/>
          <w:lang w:val="en-GB"/>
        </w:rPr>
        <w:t xml:space="preserve">  </w:t>
      </w:r>
    </w:p>
    <w:p w14:paraId="720C5869" w14:textId="77777777" w:rsidR="00966081" w:rsidRDefault="00966081" w:rsidP="00956228">
      <w:pPr>
        <w:pStyle w:val="Normaltimes"/>
        <w:rPr>
          <w:rFonts w:ascii="Times New Roman" w:hAnsi="Times New Roman" w:cs="Times New Roman"/>
          <w:b/>
          <w:sz w:val="20"/>
          <w:szCs w:val="20"/>
          <w:lang w:val="en-GB"/>
        </w:rPr>
      </w:pPr>
    </w:p>
    <w:p w14:paraId="73FFEE39" w14:textId="43150A00" w:rsidR="00956228" w:rsidRDefault="00644DDA" w:rsidP="00956228">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sidR="001A1311">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w:t>
      </w:r>
      <w:r w:rsidR="00A17CF5">
        <w:rPr>
          <w:rFonts w:ascii="Times New Roman" w:hAnsi="Times New Roman" w:cs="Times New Roman"/>
          <w:b/>
          <w:sz w:val="20"/>
          <w:szCs w:val="20"/>
          <w:lang w:val="en-GB"/>
        </w:rPr>
        <w:t xml:space="preserve">monitoring </w:t>
      </w:r>
      <w:r>
        <w:rPr>
          <w:rFonts w:ascii="Times New Roman" w:hAnsi="Times New Roman" w:cs="Times New Roman"/>
          <w:b/>
          <w:sz w:val="20"/>
          <w:szCs w:val="20"/>
          <w:lang w:val="en-GB"/>
        </w:rPr>
        <w:t xml:space="preserve">entry condition </w:t>
      </w:r>
      <w:r w:rsidR="001A1311">
        <w:rPr>
          <w:rFonts w:ascii="Times New Roman" w:hAnsi="Times New Roman" w:cs="Times New Roman"/>
          <w:b/>
          <w:sz w:val="20"/>
          <w:szCs w:val="20"/>
          <w:lang w:val="en-GB"/>
        </w:rPr>
        <w:t xml:space="preserve">includes both MR (cell coverage) and LR (LP-WUS coverage) measurements. </w:t>
      </w:r>
    </w:p>
    <w:p w14:paraId="09A9796A" w14:textId="77777777" w:rsidR="00966081" w:rsidRDefault="00966081" w:rsidP="001C135E">
      <w:pPr>
        <w:pStyle w:val="Normaltimes"/>
        <w:rPr>
          <w:rFonts w:ascii="Times New Roman" w:hAnsi="Times New Roman" w:cs="Times New Roman"/>
          <w:bCs/>
          <w:sz w:val="20"/>
          <w:szCs w:val="20"/>
          <w:lang w:val="en-GB"/>
        </w:rPr>
      </w:pPr>
    </w:p>
    <w:p w14:paraId="635AF09B" w14:textId="1DCAC656" w:rsidR="001C135E" w:rsidRPr="00956228" w:rsidRDefault="001C135E" w:rsidP="001C135E">
      <w:pPr>
        <w:pStyle w:val="Normaltimes"/>
        <w:rPr>
          <w:rFonts w:ascii="Times New Roman" w:hAnsi="Times New Roman" w:cs="Times New Roman"/>
          <w:bCs/>
          <w:sz w:val="20"/>
          <w:szCs w:val="20"/>
          <w:lang w:val="en-GB"/>
        </w:rPr>
      </w:pPr>
      <w:r w:rsidRPr="00EE5A84">
        <w:rPr>
          <w:rFonts w:ascii="Times New Roman" w:hAnsi="Times New Roman" w:cs="Times New Roman"/>
          <w:bCs/>
          <w:sz w:val="20"/>
          <w:szCs w:val="20"/>
          <w:lang w:val="en-GB"/>
        </w:rPr>
        <w:t>Evidently, to avoid the need of using MR</w:t>
      </w:r>
      <w:r>
        <w:rPr>
          <w:rFonts w:ascii="Times New Roman" w:hAnsi="Times New Roman" w:cs="Times New Roman"/>
          <w:bCs/>
          <w:sz w:val="20"/>
          <w:szCs w:val="20"/>
          <w:lang w:val="en-GB"/>
        </w:rPr>
        <w:t xml:space="preserve"> and save UE power</w:t>
      </w:r>
      <w:r w:rsidRPr="00EE5A84">
        <w:rPr>
          <w:rFonts w:ascii="Times New Roman" w:hAnsi="Times New Roman" w:cs="Times New Roman"/>
          <w:bCs/>
          <w:sz w:val="20"/>
          <w:szCs w:val="20"/>
          <w:lang w:val="en-GB"/>
        </w:rPr>
        <w:t xml:space="preserve">, the </w:t>
      </w:r>
      <w:r>
        <w:rPr>
          <w:rFonts w:ascii="Times New Roman" w:hAnsi="Times New Roman" w:cs="Times New Roman"/>
          <w:bCs/>
          <w:sz w:val="20"/>
          <w:szCs w:val="20"/>
          <w:lang w:val="en-GB"/>
        </w:rPr>
        <w:t xml:space="preserve">measurement </w:t>
      </w:r>
      <w:r w:rsidRPr="00EE5A84">
        <w:rPr>
          <w:rFonts w:ascii="Times New Roman" w:hAnsi="Times New Roman" w:cs="Times New Roman"/>
          <w:bCs/>
          <w:sz w:val="20"/>
          <w:szCs w:val="20"/>
          <w:lang w:val="en-GB"/>
        </w:rPr>
        <w:t xml:space="preserve">quantity for the </w:t>
      </w:r>
      <w:r>
        <w:rPr>
          <w:rFonts w:ascii="Times New Roman" w:hAnsi="Times New Roman" w:cs="Times New Roman"/>
          <w:bCs/>
          <w:sz w:val="20"/>
          <w:szCs w:val="20"/>
          <w:lang w:val="en-GB"/>
        </w:rPr>
        <w:t xml:space="preserve">exit condition </w:t>
      </w:r>
      <w:r w:rsidRPr="00EE5A84">
        <w:rPr>
          <w:rFonts w:ascii="Times New Roman" w:hAnsi="Times New Roman" w:cs="Times New Roman"/>
          <w:bCs/>
          <w:sz w:val="20"/>
          <w:szCs w:val="20"/>
          <w:lang w:val="en-GB"/>
        </w:rPr>
        <w:t>would need to be evaluated based on LR.</w:t>
      </w:r>
      <w:r w:rsidRPr="00956228">
        <w:rPr>
          <w:rFonts w:ascii="Times New Roman" w:hAnsi="Times New Roman" w:cs="Times New Roman"/>
          <w:bCs/>
          <w:sz w:val="20"/>
          <w:szCs w:val="20"/>
          <w:lang w:val="en-GB"/>
        </w:rPr>
        <w:t xml:space="preserve"> </w:t>
      </w:r>
      <w:r>
        <w:rPr>
          <w:rFonts w:ascii="Times New Roman" w:hAnsi="Times New Roman" w:cs="Times New Roman"/>
          <w:bCs/>
          <w:sz w:val="20"/>
          <w:szCs w:val="20"/>
          <w:lang w:val="en-GB"/>
        </w:rPr>
        <w:t>Based on that the following is proposed.</w:t>
      </w:r>
    </w:p>
    <w:p w14:paraId="2BCD519A" w14:textId="77777777" w:rsidR="00966081" w:rsidRDefault="00966081" w:rsidP="001C135E">
      <w:pPr>
        <w:pStyle w:val="Normaltimes"/>
        <w:rPr>
          <w:rFonts w:ascii="Times New Roman" w:hAnsi="Times New Roman" w:cs="Times New Roman"/>
          <w:b/>
          <w:sz w:val="20"/>
          <w:szCs w:val="20"/>
          <w:lang w:val="en-GB"/>
        </w:rPr>
      </w:pPr>
    </w:p>
    <w:p w14:paraId="32CD4725" w14:textId="76E96F44" w:rsidR="001C135E" w:rsidRPr="00463662" w:rsidRDefault="001C135E" w:rsidP="001C135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1A1311">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monitoring exit condition is evaluated based on LR measurement. </w:t>
      </w:r>
    </w:p>
    <w:p w14:paraId="239B41AF" w14:textId="77777777" w:rsidR="00966081" w:rsidRDefault="00966081" w:rsidP="00956228">
      <w:pPr>
        <w:pStyle w:val="Normaltimes"/>
        <w:rPr>
          <w:rFonts w:ascii="Times New Roman" w:hAnsi="Times New Roman" w:cs="Times New Roman"/>
          <w:bCs/>
          <w:sz w:val="20"/>
          <w:szCs w:val="20"/>
          <w:lang w:val="en-GB"/>
        </w:rPr>
      </w:pPr>
    </w:p>
    <w:p w14:paraId="3132F704" w14:textId="0EC48126" w:rsidR="00956228" w:rsidRPr="00956228" w:rsidRDefault="00644DDA" w:rsidP="00956228">
      <w:pPr>
        <w:pStyle w:val="Normaltimes"/>
        <w:rPr>
          <w:rFonts w:ascii="Times New Roman" w:hAnsi="Times New Roman" w:cs="Times New Roman"/>
          <w:sz w:val="20"/>
          <w:szCs w:val="20"/>
          <w:lang w:val="en-GB"/>
        </w:rPr>
      </w:pPr>
      <w:r>
        <w:rPr>
          <w:rFonts w:ascii="Times New Roman" w:hAnsi="Times New Roman" w:cs="Times New Roman"/>
          <w:bCs/>
          <w:sz w:val="20"/>
          <w:szCs w:val="20"/>
          <w:lang w:val="en-GB"/>
        </w:rPr>
        <w:t>T</w:t>
      </w:r>
      <w:r w:rsidR="00956228" w:rsidRPr="00956228">
        <w:rPr>
          <w:rFonts w:ascii="Times New Roman" w:hAnsi="Times New Roman" w:cs="Times New Roman"/>
          <w:bCs/>
          <w:sz w:val="20"/>
          <w:szCs w:val="20"/>
          <w:lang w:val="en-GB"/>
        </w:rPr>
        <w:t xml:space="preserve">he measurement quantities </w:t>
      </w:r>
      <w:r w:rsidRPr="00956228">
        <w:rPr>
          <w:rFonts w:ascii="Times New Roman" w:hAnsi="Times New Roman" w:cs="Times New Roman"/>
          <w:bCs/>
          <w:sz w:val="20"/>
          <w:szCs w:val="20"/>
          <w:lang w:val="en-GB"/>
        </w:rPr>
        <w:t xml:space="preserve">that can be applied </w:t>
      </w:r>
      <w:r>
        <w:rPr>
          <w:rFonts w:ascii="Times New Roman" w:hAnsi="Times New Roman" w:cs="Times New Roman"/>
          <w:bCs/>
          <w:sz w:val="20"/>
          <w:szCs w:val="20"/>
          <w:lang w:val="en-GB"/>
        </w:rPr>
        <w:t>by</w:t>
      </w:r>
      <w:r w:rsidRPr="00956228">
        <w:rPr>
          <w:rFonts w:ascii="Times New Roman" w:hAnsi="Times New Roman" w:cs="Times New Roman"/>
          <w:bCs/>
          <w:sz w:val="20"/>
          <w:szCs w:val="20"/>
          <w:lang w:val="en-GB"/>
        </w:rPr>
        <w:t xml:space="preserve"> LP-WUR</w:t>
      </w:r>
      <w:r>
        <w:rPr>
          <w:rFonts w:ascii="Times New Roman" w:hAnsi="Times New Roman" w:cs="Times New Roman"/>
          <w:bCs/>
          <w:sz w:val="20"/>
          <w:szCs w:val="20"/>
          <w:lang w:val="en-GB"/>
        </w:rPr>
        <w:t xml:space="preserve"> needs to be determined</w:t>
      </w:r>
      <w:r w:rsidR="00956228" w:rsidRPr="00956228">
        <w:rPr>
          <w:rFonts w:ascii="Times New Roman" w:hAnsi="Times New Roman" w:cs="Times New Roman"/>
          <w:bCs/>
          <w:sz w:val="20"/>
          <w:szCs w:val="20"/>
          <w:lang w:val="en-GB"/>
        </w:rPr>
        <w:t xml:space="preserve">. In RAN1 </w:t>
      </w:r>
      <w:r w:rsidR="00956228" w:rsidRPr="00956228">
        <w:rPr>
          <w:rFonts w:ascii="Times New Roman" w:hAnsi="Times New Roman" w:cs="Times New Roman"/>
          <w:sz w:val="20"/>
          <w:szCs w:val="20"/>
          <w:lang w:val="en-GB"/>
        </w:rPr>
        <w:t>SI</w:t>
      </w:r>
      <w:r w:rsidR="00956228" w:rsidRPr="00956228">
        <w:rPr>
          <w:rFonts w:ascii="Times New Roman" w:hAnsi="Times New Roman" w:cs="Times New Roman"/>
          <w:bCs/>
          <w:sz w:val="20"/>
          <w:szCs w:val="20"/>
          <w:lang w:val="en-GB"/>
        </w:rPr>
        <w:t xml:space="preserve"> discussions, different measurement quantities were considered. </w:t>
      </w:r>
      <w:r w:rsidR="00956228" w:rsidRPr="00956228">
        <w:rPr>
          <w:rFonts w:ascii="Times New Roman" w:hAnsi="Times New Roman" w:cs="Times New Roman"/>
          <w:sz w:val="20"/>
          <w:szCs w:val="20"/>
          <w:lang w:val="en-GB"/>
        </w:rPr>
        <w:t>For LR that is capable of receiving PSS/SSS, measurement quantities would need to be considered based on SSB (PSS/SSS)</w:t>
      </w:r>
      <w:r>
        <w:rPr>
          <w:rFonts w:ascii="Times New Roman" w:hAnsi="Times New Roman" w:cs="Times New Roman"/>
          <w:sz w:val="20"/>
          <w:szCs w:val="20"/>
          <w:lang w:val="en-GB"/>
        </w:rPr>
        <w:t xml:space="preserve"> </w:t>
      </w:r>
      <w:r w:rsidR="00956228" w:rsidRPr="00956228">
        <w:rPr>
          <w:rFonts w:ascii="Times New Roman" w:hAnsi="Times New Roman" w:cs="Times New Roman"/>
          <w:sz w:val="20"/>
          <w:szCs w:val="20"/>
          <w:lang w:val="en-GB"/>
        </w:rPr>
        <w:t>while there are existing measurement quantities defined for MR based on SSB, such as SS-RSRP</w:t>
      </w:r>
      <w:r>
        <w:rPr>
          <w:rFonts w:ascii="Times New Roman" w:hAnsi="Times New Roman" w:cs="Times New Roman"/>
          <w:sz w:val="20"/>
          <w:szCs w:val="20"/>
          <w:lang w:val="en-GB"/>
        </w:rPr>
        <w:t>.</w:t>
      </w:r>
      <w:r w:rsidR="00956228" w:rsidRPr="00956228">
        <w:rPr>
          <w:rFonts w:ascii="Times New Roman" w:hAnsi="Times New Roman" w:cs="Times New Roman"/>
          <w:sz w:val="20"/>
          <w:szCs w:val="20"/>
          <w:lang w:val="en-GB"/>
        </w:rPr>
        <w:t xml:space="preserve"> </w:t>
      </w:r>
    </w:p>
    <w:p w14:paraId="05B77324" w14:textId="77777777" w:rsidR="00966081" w:rsidRDefault="00966081" w:rsidP="00956228">
      <w:pPr>
        <w:pStyle w:val="Normaltimes"/>
        <w:rPr>
          <w:rFonts w:ascii="Times New Roman" w:hAnsi="Times New Roman" w:cs="Times New Roman"/>
          <w:b/>
          <w:sz w:val="20"/>
          <w:szCs w:val="20"/>
          <w:lang w:val="en-GB"/>
        </w:rPr>
      </w:pPr>
    </w:p>
    <w:p w14:paraId="0B3B231D" w14:textId="240651FE" w:rsidR="00956228" w:rsidRDefault="001C135E" w:rsidP="00956228">
      <w:pPr>
        <w:pStyle w:val="Normaltimes"/>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00956228" w:rsidRPr="00956228">
        <w:rPr>
          <w:rFonts w:ascii="Times New Roman" w:hAnsi="Times New Roman" w:cs="Times New Roman"/>
          <w:b/>
          <w:sz w:val="20"/>
          <w:szCs w:val="20"/>
          <w:lang w:val="en-GB"/>
        </w:rPr>
        <w:t xml:space="preserve">: </w:t>
      </w:r>
      <w:r w:rsidR="00644DDA">
        <w:rPr>
          <w:rFonts w:ascii="Times New Roman" w:hAnsi="Times New Roman" w:cs="Times New Roman"/>
          <w:b/>
          <w:sz w:val="20"/>
          <w:szCs w:val="20"/>
          <w:lang w:val="en-GB"/>
        </w:rPr>
        <w:t xml:space="preserve">RAN2 </w:t>
      </w:r>
      <w:r>
        <w:rPr>
          <w:rFonts w:ascii="Times New Roman" w:hAnsi="Times New Roman" w:cs="Times New Roman"/>
          <w:b/>
          <w:sz w:val="20"/>
          <w:szCs w:val="20"/>
          <w:lang w:val="en-GB"/>
        </w:rPr>
        <w:t xml:space="preserve">assumes that </w:t>
      </w:r>
      <w:r w:rsidR="00644DDA">
        <w:rPr>
          <w:rFonts w:ascii="Times New Roman" w:hAnsi="Times New Roman" w:cs="Times New Roman"/>
          <w:b/>
          <w:sz w:val="20"/>
          <w:szCs w:val="20"/>
          <w:lang w:val="en-GB"/>
        </w:rPr>
        <w:t>RAN</w:t>
      </w:r>
      <w:r>
        <w:rPr>
          <w:rFonts w:ascii="Times New Roman" w:hAnsi="Times New Roman" w:cs="Times New Roman"/>
          <w:b/>
          <w:sz w:val="20"/>
          <w:szCs w:val="20"/>
          <w:lang w:val="en-GB"/>
        </w:rPr>
        <w:t>1</w:t>
      </w:r>
      <w:r w:rsidR="00644DDA">
        <w:rPr>
          <w:rFonts w:ascii="Times New Roman" w:hAnsi="Times New Roman" w:cs="Times New Roman"/>
          <w:b/>
          <w:sz w:val="20"/>
          <w:szCs w:val="20"/>
          <w:lang w:val="en-GB"/>
        </w:rPr>
        <w:t xml:space="preserve"> define</w:t>
      </w:r>
      <w:r>
        <w:rPr>
          <w:rFonts w:ascii="Times New Roman" w:hAnsi="Times New Roman" w:cs="Times New Roman"/>
          <w:b/>
          <w:sz w:val="20"/>
          <w:szCs w:val="20"/>
          <w:lang w:val="en-GB"/>
        </w:rPr>
        <w:t>s</w:t>
      </w:r>
      <w:r w:rsidR="00644DDA">
        <w:rPr>
          <w:rFonts w:ascii="Times New Roman" w:hAnsi="Times New Roman" w:cs="Times New Roman"/>
          <w:b/>
          <w:sz w:val="20"/>
          <w:szCs w:val="20"/>
          <w:lang w:val="en-GB"/>
        </w:rPr>
        <w:t xml:space="preserve"> </w:t>
      </w:r>
      <w:r w:rsidR="00644DDA" w:rsidRPr="00644DDA">
        <w:rPr>
          <w:rFonts w:ascii="Times New Roman" w:hAnsi="Times New Roman" w:cs="Times New Roman"/>
          <w:b/>
          <w:sz w:val="20"/>
          <w:szCs w:val="20"/>
          <w:lang w:val="en-GB"/>
        </w:rPr>
        <w:t>LR measurements quantities</w:t>
      </w:r>
      <w:r>
        <w:rPr>
          <w:rFonts w:ascii="Times New Roman" w:hAnsi="Times New Roman" w:cs="Times New Roman"/>
          <w:b/>
          <w:sz w:val="20"/>
          <w:szCs w:val="20"/>
          <w:lang w:val="en-GB"/>
        </w:rPr>
        <w:t xml:space="preserve"> for LP-WUS</w:t>
      </w:r>
      <w:r w:rsidR="008734C2">
        <w:rPr>
          <w:rFonts w:ascii="Times New Roman" w:hAnsi="Times New Roman" w:cs="Times New Roman"/>
          <w:b/>
          <w:sz w:val="20"/>
          <w:szCs w:val="20"/>
          <w:lang w:val="en-GB"/>
        </w:rPr>
        <w:t>.</w:t>
      </w:r>
    </w:p>
    <w:p w14:paraId="57F915FE" w14:textId="77777777" w:rsidR="00966081" w:rsidRPr="00956228" w:rsidRDefault="00966081" w:rsidP="00956228">
      <w:pPr>
        <w:pStyle w:val="Normaltimes"/>
        <w:rPr>
          <w:rFonts w:ascii="Times New Roman" w:hAnsi="Times New Roman" w:cs="Times New Roman"/>
          <w:bCs/>
          <w:sz w:val="20"/>
          <w:szCs w:val="20"/>
          <w:lang w:val="en-GB"/>
        </w:rPr>
      </w:pPr>
    </w:p>
    <w:p w14:paraId="0D001092" w14:textId="77777777" w:rsidR="00DC7292" w:rsidRDefault="00AF38D5" w:rsidP="00DC7292">
      <w:r>
        <w:t>In scope of the IDLE/</w:t>
      </w:r>
      <w:r w:rsidR="00C653C0">
        <w:t>INACTIVE</w:t>
      </w:r>
      <w:r>
        <w:t xml:space="preserve"> mode operation, the </w:t>
      </w:r>
      <w:r w:rsidR="00C653C0">
        <w:t xml:space="preserve">WID </w:t>
      </w:r>
      <w:r>
        <w:t xml:space="preserve">objective seeks to specify LP-WUS triggered paging monitoring. In strict sense this would seem to imply that LP-WUS triggering should result UE to monitor the associated PO. </w:t>
      </w:r>
      <w:r w:rsidR="00DC7292">
        <w:t xml:space="preserve">In Rel-18 different approaches were discussed how to determine the PO which UE should monitor, upon LP-WUS triggering: </w:t>
      </w:r>
    </w:p>
    <w:p w14:paraId="4B735761" w14:textId="53ADBE45" w:rsidR="00DC7292" w:rsidRDefault="00DC7292" w:rsidP="00DC7292">
      <w:pPr>
        <w:pStyle w:val="ListParagraph"/>
        <w:numPr>
          <w:ilvl w:val="0"/>
          <w:numId w:val="20"/>
        </w:numPr>
      </w:pPr>
      <w:r>
        <w:t xml:space="preserve">‘Dynamic PO’; where LP-WUS trigger the UE to monitor a time occasion where PDCCH and PDSCH are monitored would appear dynamically, some predefined time after the LP-WUS </w:t>
      </w:r>
    </w:p>
    <w:p w14:paraId="5570350E" w14:textId="04B31313" w:rsidR="00DC7292" w:rsidRDefault="00DC7292" w:rsidP="00DC7292">
      <w:pPr>
        <w:pStyle w:val="ListParagraph"/>
        <w:numPr>
          <w:ilvl w:val="0"/>
          <w:numId w:val="20"/>
        </w:numPr>
      </w:pPr>
      <w:r>
        <w:t xml:space="preserve">‘Closest PO’; where the LP-WUS trigger the UE to monitor PO that would be closest to the LP-WUS </w:t>
      </w:r>
    </w:p>
    <w:p w14:paraId="6BBF3E69" w14:textId="2BDB3E15" w:rsidR="00AF38D5" w:rsidRDefault="00DC7292" w:rsidP="00DC7292">
      <w:pPr>
        <w:pStyle w:val="ListParagraph"/>
        <w:numPr>
          <w:ilvl w:val="0"/>
          <w:numId w:val="20"/>
        </w:numPr>
      </w:pPr>
      <w:r>
        <w:t>‘Normal PO’; where LP-WUS would trigger the UE to monitor the same IDLE/Inactive mode PO that UE would monitor normally without LP-WUS</w:t>
      </w:r>
    </w:p>
    <w:p w14:paraId="3BEE083C" w14:textId="790A0A42" w:rsidR="00DC7292" w:rsidRPr="00DC7292" w:rsidRDefault="00DC7292" w:rsidP="00DC7292">
      <w:r>
        <w:t xml:space="preserve">In any case </w:t>
      </w:r>
      <w:r w:rsidRPr="00DC7292">
        <w:t xml:space="preserve">network won’t be aware if UE is monitoring LP-WUS or, as a fall-back, the PO(s). This means that network would need to account both possible situations when transmitting the paging. From network perspective, the alternative procedures, ‘dynamic PO’ and ‘closest PO’ would mean that network would need in minimum transmit the paging in two alternative POs during the paging cycle, one associated to the LP-WUS and other in the normal PO. This would increase the paging overhead, doubling it. </w:t>
      </w:r>
      <w:r>
        <w:t>Based on that the following is proposed.</w:t>
      </w:r>
    </w:p>
    <w:p w14:paraId="35BEC781" w14:textId="77777777" w:rsidR="00DC7292" w:rsidRPr="00DC7292" w:rsidRDefault="00DC7292" w:rsidP="00DC7292"/>
    <w:p w14:paraId="4627C082" w14:textId="1ED53FFA" w:rsidR="00AF38D5" w:rsidRDefault="00AF38D5" w:rsidP="00AF38D5">
      <w:pPr>
        <w:rPr>
          <w:b/>
          <w:bCs/>
        </w:rPr>
      </w:pPr>
      <w:r w:rsidRPr="00AF38D5">
        <w:rPr>
          <w:b/>
          <w:bCs/>
        </w:rPr>
        <w:t>Proposal</w:t>
      </w:r>
      <w:r w:rsidR="00C653C0">
        <w:rPr>
          <w:b/>
          <w:bCs/>
        </w:rPr>
        <w:t xml:space="preserve"> 7</w:t>
      </w:r>
      <w:r w:rsidRPr="00AF38D5">
        <w:rPr>
          <w:b/>
          <w:bCs/>
        </w:rPr>
        <w:t xml:space="preserve">: UE monitors the legacy </w:t>
      </w:r>
      <w:r w:rsidR="00C653C0">
        <w:rPr>
          <w:b/>
          <w:bCs/>
        </w:rPr>
        <w:t xml:space="preserve">PEI and/or </w:t>
      </w:r>
      <w:r w:rsidRPr="00AF38D5">
        <w:rPr>
          <w:b/>
          <w:bCs/>
        </w:rPr>
        <w:t>PO after receiving LP-WUS indicating wake-up and no changes to the paging occasion to be monitored are supported.</w:t>
      </w:r>
    </w:p>
    <w:p w14:paraId="6B920D97" w14:textId="77777777" w:rsidR="00AF38D5" w:rsidRPr="00AF38D5" w:rsidRDefault="00AF38D5" w:rsidP="00AF38D5"/>
    <w:p w14:paraId="69B7B8E6" w14:textId="69E07FC9" w:rsidR="009339CB" w:rsidRPr="006E13D1" w:rsidRDefault="005A13AB" w:rsidP="009339CB">
      <w:pPr>
        <w:pStyle w:val="Heading1"/>
      </w:pPr>
      <w:r>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05E76222" w14:textId="77777777" w:rsidR="003E4847" w:rsidRDefault="003E4847" w:rsidP="003A3ED4">
      <w:pPr>
        <w:rPr>
          <w:b/>
          <w:bCs/>
        </w:rPr>
      </w:pPr>
    </w:p>
    <w:p w14:paraId="3B91279B" w14:textId="77777777" w:rsidR="00CB1ED0" w:rsidRDefault="00CB1ED0" w:rsidP="00CB1ED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4AA940DF" w14:textId="77777777" w:rsidR="00CB1ED0" w:rsidRDefault="00CB1ED0" w:rsidP="00CB1ED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w:t>
      </w:r>
      <w:r>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5A2A8380" w14:textId="77777777" w:rsidR="00CB1ED0" w:rsidRPr="00463662" w:rsidRDefault="00CB1ED0" w:rsidP="00CB1ED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Pr="00463662">
        <w:rPr>
          <w:rFonts w:ascii="Times New Roman" w:hAnsi="Times New Roman" w:cs="Times New Roman"/>
          <w:b/>
          <w:sz w:val="20"/>
          <w:szCs w:val="20"/>
          <w:lang w:val="en-GB"/>
        </w:rPr>
        <w:t xml:space="preserve">stop LP-WUS monitoring when </w:t>
      </w:r>
      <w:r>
        <w:rPr>
          <w:rFonts w:ascii="Times New Roman" w:hAnsi="Times New Roman" w:cs="Times New Roman"/>
          <w:b/>
          <w:sz w:val="20"/>
          <w:szCs w:val="20"/>
          <w:lang w:val="en-GB"/>
        </w:rPr>
        <w:t>LP-WUS monitoring</w:t>
      </w:r>
      <w:r w:rsidRPr="00463662">
        <w:rPr>
          <w:rFonts w:ascii="Times New Roman" w:hAnsi="Times New Roman" w:cs="Times New Roman"/>
          <w:b/>
          <w:sz w:val="20"/>
          <w:szCs w:val="20"/>
          <w:lang w:val="en-GB"/>
        </w:rPr>
        <w:t xml:space="preserve"> exit condition</w:t>
      </w:r>
      <w:r>
        <w:rPr>
          <w:rFonts w:ascii="Times New Roman" w:hAnsi="Times New Roman" w:cs="Times New Roman"/>
          <w:b/>
          <w:sz w:val="20"/>
          <w:szCs w:val="20"/>
          <w:lang w:val="en-GB"/>
        </w:rPr>
        <w:t xml:space="preserve"> (worse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In this case the UE shall monitor legacy PO instead of LP-WUS. </w:t>
      </w:r>
    </w:p>
    <w:p w14:paraId="596F5608" w14:textId="77777777" w:rsidR="00CB1ED0" w:rsidRDefault="00CB1ED0" w:rsidP="00CB1ED0">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monitoring entry condition includes both MR (cell coverage) and LR (LP-WUS coverage) measurements. </w:t>
      </w:r>
    </w:p>
    <w:p w14:paraId="6222192A" w14:textId="77777777" w:rsidR="00CB1ED0" w:rsidRPr="00463662" w:rsidRDefault="00CB1ED0" w:rsidP="00CB1ED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monitoring exit condition is evaluated based on LR measurement. </w:t>
      </w:r>
    </w:p>
    <w:p w14:paraId="00049D35" w14:textId="77777777" w:rsidR="00CB1ED0" w:rsidRDefault="00CB1ED0" w:rsidP="00CB1ED0">
      <w:pPr>
        <w:pStyle w:val="Normaltimes"/>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956228">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RAN2 assumes that RAN1 defines </w:t>
      </w:r>
      <w:r w:rsidRPr="00644DDA">
        <w:rPr>
          <w:rFonts w:ascii="Times New Roman" w:hAnsi="Times New Roman" w:cs="Times New Roman"/>
          <w:b/>
          <w:sz w:val="20"/>
          <w:szCs w:val="20"/>
          <w:lang w:val="en-GB"/>
        </w:rPr>
        <w:t>LR measurements quantities</w:t>
      </w:r>
      <w:r>
        <w:rPr>
          <w:rFonts w:ascii="Times New Roman" w:hAnsi="Times New Roman" w:cs="Times New Roman"/>
          <w:b/>
          <w:sz w:val="20"/>
          <w:szCs w:val="20"/>
          <w:lang w:val="en-GB"/>
        </w:rPr>
        <w:t xml:space="preserve"> for LP-WUS.</w:t>
      </w:r>
    </w:p>
    <w:p w14:paraId="4ACCE407" w14:textId="77777777" w:rsidR="00CB1ED0" w:rsidRDefault="00CB1ED0" w:rsidP="00CB1ED0">
      <w:pPr>
        <w:rPr>
          <w:b/>
          <w:bCs/>
        </w:rPr>
      </w:pPr>
      <w:r w:rsidRPr="00AF38D5">
        <w:rPr>
          <w:b/>
          <w:bCs/>
        </w:rPr>
        <w:lastRenderedPageBreak/>
        <w:t>Proposal</w:t>
      </w:r>
      <w:r>
        <w:rPr>
          <w:b/>
          <w:bCs/>
        </w:rPr>
        <w:t xml:space="preserve"> 7</w:t>
      </w:r>
      <w:r w:rsidRPr="00AF38D5">
        <w:rPr>
          <w:b/>
          <w:bCs/>
        </w:rPr>
        <w:t xml:space="preserve">: UE monitors the legacy </w:t>
      </w:r>
      <w:r>
        <w:rPr>
          <w:b/>
          <w:bCs/>
        </w:rPr>
        <w:t xml:space="preserve">PEI and/or </w:t>
      </w:r>
      <w:r w:rsidRPr="00AF38D5">
        <w:rPr>
          <w:b/>
          <w:bCs/>
        </w:rPr>
        <w:t>PO after receiving LP-WUS indicating wake-up and no changes to the paging occasion to be monitored are supported.</w:t>
      </w:r>
    </w:p>
    <w:p w14:paraId="10EA7723" w14:textId="77777777" w:rsidR="003A3ED4" w:rsidRPr="004F4540" w:rsidRDefault="003A3ED4" w:rsidP="009339CB">
      <w:pPr>
        <w:rPr>
          <w:bCs/>
        </w:rPr>
      </w:pPr>
    </w:p>
    <w:sectPr w:rsidR="003A3ED4" w:rsidRPr="004F45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19"/>
  </w:num>
  <w:num w:numId="21" w16cid:durableId="1651474240">
    <w:abstractNumId w:val="18"/>
  </w:num>
  <w:num w:numId="22" w16cid:durableId="4147900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2610D"/>
    <w:rsid w:val="00140F5C"/>
    <w:rsid w:val="00143484"/>
    <w:rsid w:val="00145075"/>
    <w:rsid w:val="001741A0"/>
    <w:rsid w:val="00175FA0"/>
    <w:rsid w:val="0018542A"/>
    <w:rsid w:val="00194CD0"/>
    <w:rsid w:val="001A1311"/>
    <w:rsid w:val="001B2E1E"/>
    <w:rsid w:val="001B49C9"/>
    <w:rsid w:val="001C135E"/>
    <w:rsid w:val="001C23F4"/>
    <w:rsid w:val="001C4F79"/>
    <w:rsid w:val="001F168B"/>
    <w:rsid w:val="001F7831"/>
    <w:rsid w:val="00204045"/>
    <w:rsid w:val="0020712B"/>
    <w:rsid w:val="0022606D"/>
    <w:rsid w:val="00231728"/>
    <w:rsid w:val="00244A05"/>
    <w:rsid w:val="00250404"/>
    <w:rsid w:val="00256B74"/>
    <w:rsid w:val="00257050"/>
    <w:rsid w:val="002610D8"/>
    <w:rsid w:val="002747EC"/>
    <w:rsid w:val="002855BF"/>
    <w:rsid w:val="00290A7C"/>
    <w:rsid w:val="002B2988"/>
    <w:rsid w:val="002B5C11"/>
    <w:rsid w:val="002F0D22"/>
    <w:rsid w:val="00300E0F"/>
    <w:rsid w:val="00311B17"/>
    <w:rsid w:val="003172DC"/>
    <w:rsid w:val="00325AE3"/>
    <w:rsid w:val="00326069"/>
    <w:rsid w:val="00331F7F"/>
    <w:rsid w:val="0035462D"/>
    <w:rsid w:val="0036459E"/>
    <w:rsid w:val="00364B41"/>
    <w:rsid w:val="00383096"/>
    <w:rsid w:val="0039346C"/>
    <w:rsid w:val="003A3ED4"/>
    <w:rsid w:val="003A41EF"/>
    <w:rsid w:val="003B40AD"/>
    <w:rsid w:val="003C4E37"/>
    <w:rsid w:val="003D0FD0"/>
    <w:rsid w:val="003E16BE"/>
    <w:rsid w:val="003E4847"/>
    <w:rsid w:val="003F4E28"/>
    <w:rsid w:val="003F76B6"/>
    <w:rsid w:val="004006E8"/>
    <w:rsid w:val="00401855"/>
    <w:rsid w:val="0044304E"/>
    <w:rsid w:val="00446C3A"/>
    <w:rsid w:val="00463662"/>
    <w:rsid w:val="00465587"/>
    <w:rsid w:val="00477455"/>
    <w:rsid w:val="004A1F7B"/>
    <w:rsid w:val="004C2E38"/>
    <w:rsid w:val="004C44D2"/>
    <w:rsid w:val="004D3578"/>
    <w:rsid w:val="004D380D"/>
    <w:rsid w:val="004E213A"/>
    <w:rsid w:val="004E7553"/>
    <w:rsid w:val="004F1A83"/>
    <w:rsid w:val="004F4540"/>
    <w:rsid w:val="004F73A7"/>
    <w:rsid w:val="00503171"/>
    <w:rsid w:val="00506C28"/>
    <w:rsid w:val="00534DA0"/>
    <w:rsid w:val="00537809"/>
    <w:rsid w:val="005432D9"/>
    <w:rsid w:val="00543E6C"/>
    <w:rsid w:val="00565087"/>
    <w:rsid w:val="0056573F"/>
    <w:rsid w:val="00571279"/>
    <w:rsid w:val="00575FC5"/>
    <w:rsid w:val="005A13AB"/>
    <w:rsid w:val="005A49C6"/>
    <w:rsid w:val="005C766E"/>
    <w:rsid w:val="005C7CD5"/>
    <w:rsid w:val="00611566"/>
    <w:rsid w:val="0063553E"/>
    <w:rsid w:val="00644DDA"/>
    <w:rsid w:val="00646828"/>
    <w:rsid w:val="00646D99"/>
    <w:rsid w:val="00656910"/>
    <w:rsid w:val="006574C0"/>
    <w:rsid w:val="00666AEF"/>
    <w:rsid w:val="00696821"/>
    <w:rsid w:val="006A12A9"/>
    <w:rsid w:val="006B2172"/>
    <w:rsid w:val="006C66D8"/>
    <w:rsid w:val="006D1E24"/>
    <w:rsid w:val="006D35DE"/>
    <w:rsid w:val="006E1057"/>
    <w:rsid w:val="006E1320"/>
    <w:rsid w:val="006E1417"/>
    <w:rsid w:val="006F3C19"/>
    <w:rsid w:val="006F6A2C"/>
    <w:rsid w:val="007069DC"/>
    <w:rsid w:val="00710201"/>
    <w:rsid w:val="0072073A"/>
    <w:rsid w:val="00723B23"/>
    <w:rsid w:val="007342B5"/>
    <w:rsid w:val="00734A5B"/>
    <w:rsid w:val="00736362"/>
    <w:rsid w:val="00744E76"/>
    <w:rsid w:val="00757D40"/>
    <w:rsid w:val="007649B0"/>
    <w:rsid w:val="007662B5"/>
    <w:rsid w:val="007800A4"/>
    <w:rsid w:val="00781F0F"/>
    <w:rsid w:val="0078727C"/>
    <w:rsid w:val="0079049D"/>
    <w:rsid w:val="00793DC5"/>
    <w:rsid w:val="00796823"/>
    <w:rsid w:val="007A2E55"/>
    <w:rsid w:val="007B18D8"/>
    <w:rsid w:val="007C095F"/>
    <w:rsid w:val="007C2DD0"/>
    <w:rsid w:val="007F2E08"/>
    <w:rsid w:val="008024FA"/>
    <w:rsid w:val="008028A4"/>
    <w:rsid w:val="00813245"/>
    <w:rsid w:val="0082703D"/>
    <w:rsid w:val="00840DE0"/>
    <w:rsid w:val="00847CD0"/>
    <w:rsid w:val="008607A8"/>
    <w:rsid w:val="0086354A"/>
    <w:rsid w:val="00870BDD"/>
    <w:rsid w:val="008734C2"/>
    <w:rsid w:val="008768CA"/>
    <w:rsid w:val="00877EF9"/>
    <w:rsid w:val="00880559"/>
    <w:rsid w:val="0089287E"/>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52060"/>
    <w:rsid w:val="00956228"/>
    <w:rsid w:val="00961B32"/>
    <w:rsid w:val="00962509"/>
    <w:rsid w:val="00966081"/>
    <w:rsid w:val="00970DB3"/>
    <w:rsid w:val="00971332"/>
    <w:rsid w:val="00974A31"/>
    <w:rsid w:val="00974BB0"/>
    <w:rsid w:val="00975BCD"/>
    <w:rsid w:val="009818A2"/>
    <w:rsid w:val="009928A9"/>
    <w:rsid w:val="009947A4"/>
    <w:rsid w:val="009A0AF3"/>
    <w:rsid w:val="009B07CD"/>
    <w:rsid w:val="009C19E9"/>
    <w:rsid w:val="009D74A6"/>
    <w:rsid w:val="009E0E87"/>
    <w:rsid w:val="00A10F02"/>
    <w:rsid w:val="00A17176"/>
    <w:rsid w:val="00A17CF5"/>
    <w:rsid w:val="00A204CA"/>
    <w:rsid w:val="00A209D6"/>
    <w:rsid w:val="00A22738"/>
    <w:rsid w:val="00A36F5F"/>
    <w:rsid w:val="00A430EC"/>
    <w:rsid w:val="00A53724"/>
    <w:rsid w:val="00A54B2B"/>
    <w:rsid w:val="00A703B6"/>
    <w:rsid w:val="00A82346"/>
    <w:rsid w:val="00A9671C"/>
    <w:rsid w:val="00AA1553"/>
    <w:rsid w:val="00AD7E7C"/>
    <w:rsid w:val="00AF2492"/>
    <w:rsid w:val="00AF38D5"/>
    <w:rsid w:val="00B05380"/>
    <w:rsid w:val="00B05962"/>
    <w:rsid w:val="00B15449"/>
    <w:rsid w:val="00B16C2F"/>
    <w:rsid w:val="00B27303"/>
    <w:rsid w:val="00B47541"/>
    <w:rsid w:val="00B47FD1"/>
    <w:rsid w:val="00B516BB"/>
    <w:rsid w:val="00B54BA4"/>
    <w:rsid w:val="00B5751D"/>
    <w:rsid w:val="00B669E9"/>
    <w:rsid w:val="00B7538C"/>
    <w:rsid w:val="00B84DB2"/>
    <w:rsid w:val="00B8569E"/>
    <w:rsid w:val="00BC3555"/>
    <w:rsid w:val="00BD058A"/>
    <w:rsid w:val="00C12B51"/>
    <w:rsid w:val="00C24650"/>
    <w:rsid w:val="00C25465"/>
    <w:rsid w:val="00C31806"/>
    <w:rsid w:val="00C33079"/>
    <w:rsid w:val="00C55A12"/>
    <w:rsid w:val="00C653C0"/>
    <w:rsid w:val="00C6553E"/>
    <w:rsid w:val="00C67B54"/>
    <w:rsid w:val="00C83A13"/>
    <w:rsid w:val="00C86F10"/>
    <w:rsid w:val="00C9068C"/>
    <w:rsid w:val="00C92967"/>
    <w:rsid w:val="00CA3D0C"/>
    <w:rsid w:val="00CA654B"/>
    <w:rsid w:val="00CB1ED0"/>
    <w:rsid w:val="00CB72B8"/>
    <w:rsid w:val="00CD0BA8"/>
    <w:rsid w:val="00CD4C7B"/>
    <w:rsid w:val="00CD58FE"/>
    <w:rsid w:val="00CD7F65"/>
    <w:rsid w:val="00D33BE3"/>
    <w:rsid w:val="00D3792D"/>
    <w:rsid w:val="00D54820"/>
    <w:rsid w:val="00D54C87"/>
    <w:rsid w:val="00D55E47"/>
    <w:rsid w:val="00D62E19"/>
    <w:rsid w:val="00D67CD1"/>
    <w:rsid w:val="00D738D6"/>
    <w:rsid w:val="00D74DD6"/>
    <w:rsid w:val="00D80795"/>
    <w:rsid w:val="00D8377A"/>
    <w:rsid w:val="00D854BE"/>
    <w:rsid w:val="00D87E00"/>
    <w:rsid w:val="00D9134D"/>
    <w:rsid w:val="00D96D11"/>
    <w:rsid w:val="00DA7A03"/>
    <w:rsid w:val="00DB0DB8"/>
    <w:rsid w:val="00DB1818"/>
    <w:rsid w:val="00DC309B"/>
    <w:rsid w:val="00DC4DA2"/>
    <w:rsid w:val="00DC5261"/>
    <w:rsid w:val="00DC7292"/>
    <w:rsid w:val="00DE25D2"/>
    <w:rsid w:val="00DE7A34"/>
    <w:rsid w:val="00DF7C20"/>
    <w:rsid w:val="00E038FB"/>
    <w:rsid w:val="00E06A6C"/>
    <w:rsid w:val="00E15664"/>
    <w:rsid w:val="00E1799F"/>
    <w:rsid w:val="00E21ADF"/>
    <w:rsid w:val="00E46C08"/>
    <w:rsid w:val="00E471CF"/>
    <w:rsid w:val="00E62835"/>
    <w:rsid w:val="00E6480E"/>
    <w:rsid w:val="00E77645"/>
    <w:rsid w:val="00E83697"/>
    <w:rsid w:val="00E859B6"/>
    <w:rsid w:val="00EA66C9"/>
    <w:rsid w:val="00EB5D32"/>
    <w:rsid w:val="00EC4A25"/>
    <w:rsid w:val="00EE5A84"/>
    <w:rsid w:val="00EF612C"/>
    <w:rsid w:val="00F025A2"/>
    <w:rsid w:val="00F036E9"/>
    <w:rsid w:val="00F07388"/>
    <w:rsid w:val="00F2026E"/>
    <w:rsid w:val="00F2210A"/>
    <w:rsid w:val="00F31372"/>
    <w:rsid w:val="00F37743"/>
    <w:rsid w:val="00F40C2F"/>
    <w:rsid w:val="00F42493"/>
    <w:rsid w:val="00F44218"/>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7649B0"/>
    <w:pPr>
      <w:numPr>
        <w:numId w:val="21"/>
      </w:numPr>
      <w:spacing w:before="60" w:after="0"/>
    </w:pPr>
    <w:rPr>
      <w:rFonts w:ascii="Arial" w:eastAsia="MS Mincho" w:hAnsi="Arial"/>
      <w:b/>
      <w:szCs w:val="24"/>
      <w:lang w:eastAsia="en-GB"/>
    </w:rPr>
  </w:style>
  <w:style w:type="character" w:customStyle="1" w:styleId="Heading3Char">
    <w:name w:val="Heading 3 Char"/>
    <w:basedOn w:val="DefaultParagraphFont"/>
    <w:link w:val="Heading3"/>
    <w:rsid w:val="00971332"/>
    <w:rPr>
      <w:rFonts w:ascii="Arial" w:hAnsi="Arial"/>
      <w:sz w:val="28"/>
      <w:lang w:eastAsia="en-US"/>
    </w:rPr>
  </w:style>
  <w:style w:type="character" w:customStyle="1" w:styleId="Doc-text2Char">
    <w:name w:val="Doc-text2 Char"/>
    <w:link w:val="Doc-text2"/>
    <w:qFormat/>
    <w:locked/>
    <w:rsid w:val="00971332"/>
    <w:rPr>
      <w:rFonts w:ascii="Arial" w:eastAsia="MS Mincho" w:hAnsi="Arial" w:cs="Arial"/>
      <w:szCs w:val="24"/>
    </w:rPr>
  </w:style>
  <w:style w:type="paragraph" w:customStyle="1" w:styleId="Doc-text2">
    <w:name w:val="Doc-text2"/>
    <w:basedOn w:val="Normal"/>
    <w:link w:val="Doc-text2Char"/>
    <w:qFormat/>
    <w:rsid w:val="00971332"/>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1723488">
      <w:bodyDiv w:val="1"/>
      <w:marLeft w:val="0"/>
      <w:marRight w:val="0"/>
      <w:marTop w:val="0"/>
      <w:marBottom w:val="0"/>
      <w:divBdr>
        <w:top w:val="none" w:sz="0" w:space="0" w:color="auto"/>
        <w:left w:val="none" w:sz="0" w:space="0" w:color="auto"/>
        <w:bottom w:val="none" w:sz="0" w:space="0" w:color="auto"/>
        <w:right w:val="none" w:sz="0" w:space="0" w:color="auto"/>
      </w:divBdr>
    </w:div>
    <w:div w:id="5524237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71c5aaf6-e6ce-465b-b873-5148d2a4c105"/>
    <ds:schemaRef ds:uri="7275bb01-7583-478d-bc14-e839a2dd5989"/>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126</TotalTime>
  <Pages>6</Pages>
  <Words>1818</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52</cp:revision>
  <dcterms:created xsi:type="dcterms:W3CDTF">2024-04-03T18:37:00Z</dcterms:created>
  <dcterms:modified xsi:type="dcterms:W3CDTF">2024-08-08T10:52:00Z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